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American Writers Museum</w:t>
      </w:r>
    </w:p>
    <w:p w:rsidR="00000000" w:rsidDel="00000000" w:rsidP="00000000" w:rsidRDefault="00000000" w:rsidRPr="00000000" w14:paraId="00000002">
      <w:pPr>
        <w:pageBreakBefore w:val="0"/>
        <w:widowControl w:val="0"/>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American Identities</w:t>
      </w:r>
    </w:p>
    <w:p w:rsidR="00000000" w:rsidDel="00000000" w:rsidP="00000000" w:rsidRDefault="00000000" w:rsidRPr="00000000" w14:paraId="00000004">
      <w:pPr>
        <w:pageBreakBefore w:val="0"/>
        <w:widowControl w:val="0"/>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5">
      <w:pPr>
        <w:pageBreakBefore w:val="0"/>
        <w:widowControl w:val="0"/>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Student Materials</w:t>
      </w:r>
    </w:p>
    <w:p w:rsidR="00000000" w:rsidDel="00000000" w:rsidP="00000000" w:rsidRDefault="00000000" w:rsidRPr="00000000" w14:paraId="00000006">
      <w:pPr>
        <w:pageBreakBefore w:val="0"/>
        <w:widowControl w:val="0"/>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8">
      <w:pPr>
        <w:pageBreakBefore w:val="0"/>
        <w:widowControl w:val="0"/>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9">
      <w:pPr>
        <w:pageBreakBefore w:val="0"/>
        <w:widowControl w:val="0"/>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Student Name: ____________________________________________________________</w:t>
      </w:r>
    </w:p>
    <w:p w:rsidR="00000000" w:rsidDel="00000000" w:rsidP="00000000" w:rsidRDefault="00000000" w:rsidRPr="00000000" w14:paraId="0000000A">
      <w:pPr>
        <w:pageBreakBefore w:val="0"/>
        <w:widowControl w:val="0"/>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B">
      <w:pPr>
        <w:pageBreakBefore w:val="0"/>
        <w:widowControl w:val="0"/>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C">
      <w:pPr>
        <w:pageBreakBefore w:val="0"/>
        <w:widowControl w:val="0"/>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D">
      <w:pPr>
        <w:pageBreakBefore w:val="0"/>
        <w:widowControl w:val="0"/>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Independent Student Reflection: Activating Prior-Knowledge:</w:t>
      </w:r>
    </w:p>
    <w:p w:rsidR="00000000" w:rsidDel="00000000" w:rsidP="00000000" w:rsidRDefault="00000000" w:rsidRPr="00000000" w14:paraId="0000000E">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Answer the following questions independently to activate your knowledge on identity.</w:t>
      </w:r>
    </w:p>
    <w:p w:rsidR="00000000" w:rsidDel="00000000" w:rsidP="00000000" w:rsidRDefault="00000000" w:rsidRPr="00000000" w14:paraId="0000000F">
      <w:pPr>
        <w:pageBreakBefore w:val="0"/>
        <w:widowControl w:val="0"/>
        <w:spacing w:line="240" w:lineRule="auto"/>
        <w:jc w:val="left"/>
        <w:rPr>
          <w:rFonts w:ascii="Cambria" w:cs="Cambria" w:eastAsia="Cambria" w:hAnsi="Cambria"/>
          <w:b w:val="1"/>
          <w:sz w:val="28"/>
          <w:szCs w:val="28"/>
        </w:rPr>
      </w:pPr>
      <w:r w:rsidDel="00000000" w:rsidR="00000000" w:rsidRPr="00000000">
        <w:rPr>
          <w:rtl w:val="0"/>
        </w:rPr>
      </w:r>
    </w:p>
    <w:tbl>
      <w:tblPr>
        <w:tblStyle w:val="Table1"/>
        <w:tblW w:w="95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70"/>
        <w:tblGridChange w:id="0">
          <w:tblGrid>
            <w:gridCol w:w="957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What is Identity?</w:t>
              <w:br w:type="textWrapping"/>
              <w:br w:type="textWrapping"/>
              <w:br w:type="textWrapping"/>
              <w:br w:type="textWrapping"/>
              <w:br w:type="textWrapping"/>
              <w:br w:type="textWrapping"/>
              <w:br w:type="textWrapping"/>
            </w:r>
          </w:p>
        </w:tc>
      </w:tr>
    </w:tbl>
    <w:p w:rsidR="00000000" w:rsidDel="00000000" w:rsidP="00000000" w:rsidRDefault="00000000" w:rsidRPr="00000000" w14:paraId="00000011">
      <w:pPr>
        <w:pageBreakBefore w:val="0"/>
        <w:widowControl w:val="0"/>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tbl>
      <w:tblPr>
        <w:tblStyle w:val="Table2"/>
        <w:tblW w:w="9630.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What influences a person’s identity?  Think about what could positively change a person’s identity or what could challenge a person’s identity.</w:t>
            </w:r>
          </w:p>
          <w:p w:rsidR="00000000" w:rsidDel="00000000" w:rsidP="00000000" w:rsidRDefault="00000000" w:rsidRPr="00000000" w14:paraId="00000014">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5">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7">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8">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9">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A">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B">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C">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D">
            <w:pPr>
              <w:pageBreakBefore w:val="0"/>
              <w:widowControl w:val="0"/>
              <w:spacing w:line="240" w:lineRule="auto"/>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tbl>
      <w:tblPr>
        <w:tblStyle w:val="Table3"/>
        <w:tblW w:w="9765.0" w:type="dxa"/>
        <w:jc w:val="left"/>
        <w:tblInd w:w="-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65"/>
        <w:tblGridChange w:id="0">
          <w:tblGrid>
            <w:gridCol w:w="9765"/>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Think about a time when your own identity has been challenged.  Describe it below.  Think about what was influencing you and how you reacted to the situation.</w:t>
            </w:r>
          </w:p>
          <w:p w:rsidR="00000000" w:rsidDel="00000000" w:rsidP="00000000" w:rsidRDefault="00000000" w:rsidRPr="00000000" w14:paraId="00000022">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3">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4">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5">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6">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7">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8">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A">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2D">
      <w:pPr>
        <w:pageBreakBefore w:val="0"/>
        <w:widowControl w:val="0"/>
        <w:spacing w:line="240" w:lineRule="auto"/>
        <w:jc w:val="left"/>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E">
      <w:pPr>
        <w:widowControl w:val="0"/>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Independent Student Reflection:</w:t>
      </w:r>
    </w:p>
    <w:p w:rsidR="00000000" w:rsidDel="00000000" w:rsidP="00000000" w:rsidRDefault="00000000" w:rsidRPr="00000000" w14:paraId="0000002F">
      <w:pPr>
        <w:pageBreakBefore w:val="0"/>
        <w:widowControl w:val="0"/>
        <w:spacing w:line="240" w:lineRule="auto"/>
        <w:rPr>
          <w:rFonts w:ascii="Cambria" w:cs="Cambria" w:eastAsia="Cambria" w:hAnsi="Cambria"/>
          <w:b w:val="1"/>
          <w:sz w:val="28"/>
          <w:szCs w:val="28"/>
        </w:rPr>
      </w:pPr>
      <w:r w:rsidDel="00000000" w:rsidR="00000000" w:rsidRPr="00000000">
        <w:rPr>
          <w:rFonts w:ascii="Cambria" w:cs="Cambria" w:eastAsia="Cambria" w:hAnsi="Cambria"/>
          <w:sz w:val="24"/>
          <w:szCs w:val="24"/>
          <w:rtl w:val="0"/>
        </w:rPr>
        <w:t xml:space="preserve">As you explore the </w:t>
      </w:r>
      <w:r w:rsidDel="00000000" w:rsidR="00000000" w:rsidRPr="00000000">
        <w:rPr>
          <w:rFonts w:ascii="Cambria" w:cs="Cambria" w:eastAsia="Cambria" w:hAnsi="Cambria"/>
          <w:i w:val="1"/>
          <w:sz w:val="24"/>
          <w:szCs w:val="24"/>
          <w:rtl w:val="0"/>
        </w:rPr>
        <w:t xml:space="preserve">Pauli Murray Virtual Exhibit</w:t>
      </w:r>
      <w:r w:rsidDel="00000000" w:rsidR="00000000" w:rsidRPr="00000000">
        <w:rPr>
          <w:rFonts w:ascii="Cambria" w:cs="Cambria" w:eastAsia="Cambria" w:hAnsi="Cambria"/>
          <w:sz w:val="24"/>
          <w:szCs w:val="24"/>
          <w:rtl w:val="0"/>
        </w:rPr>
        <w:t xml:space="preserve">, answer the following questions specific to the information you </w:t>
      </w:r>
      <w:r w:rsidDel="00000000" w:rsidR="00000000" w:rsidRPr="00000000">
        <w:rPr>
          <w:rFonts w:ascii="Cambria" w:cs="Cambria" w:eastAsia="Cambria" w:hAnsi="Cambria"/>
          <w:sz w:val="24"/>
          <w:szCs w:val="24"/>
          <w:rtl w:val="0"/>
        </w:rPr>
        <w:t xml:space="preserve">discover th</w:t>
      </w:r>
      <w:r w:rsidDel="00000000" w:rsidR="00000000" w:rsidRPr="00000000">
        <w:rPr>
          <w:rFonts w:ascii="Cambria" w:cs="Cambria" w:eastAsia="Cambria" w:hAnsi="Cambria"/>
          <w:sz w:val="24"/>
          <w:szCs w:val="24"/>
          <w:rtl w:val="0"/>
        </w:rPr>
        <w:t xml:space="preserve">roughout the exhibit. </w:t>
      </w:r>
      <w:r w:rsidDel="00000000" w:rsidR="00000000" w:rsidRPr="00000000">
        <w:rPr>
          <w:rtl w:val="0"/>
        </w:rPr>
      </w:r>
    </w:p>
    <w:p w:rsidR="00000000" w:rsidDel="00000000" w:rsidP="00000000" w:rsidRDefault="00000000" w:rsidRPr="00000000" w14:paraId="00000030">
      <w:pPr>
        <w:pageBreakBefore w:val="0"/>
        <w:widowControl w:val="0"/>
        <w:spacing w:line="240" w:lineRule="auto"/>
        <w:rPr>
          <w:rFonts w:ascii="Cambria" w:cs="Cambria" w:eastAsia="Cambria" w:hAnsi="Cambria"/>
          <w:b w:val="1"/>
          <w:sz w:val="28"/>
          <w:szCs w:val="28"/>
        </w:rPr>
      </w:pPr>
      <w:r w:rsidDel="00000000" w:rsidR="00000000" w:rsidRPr="00000000">
        <w:rPr>
          <w:rtl w:val="0"/>
        </w:rPr>
      </w:r>
    </w:p>
    <w:tbl>
      <w:tblPr>
        <w:tblStyle w:val="Table4"/>
        <w:tblW w:w="9780.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0"/>
        <w:tblGridChange w:id="0">
          <w:tblGrid>
            <w:gridCol w:w="978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What is Gender Identity?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37">
      <w:pPr>
        <w:pageBreakBefore w:val="0"/>
        <w:rPr/>
      </w:pPr>
      <w:r w:rsidDel="00000000" w:rsidR="00000000" w:rsidRPr="00000000">
        <w:rPr>
          <w:rtl w:val="0"/>
        </w:rPr>
      </w:r>
    </w:p>
    <w:tbl>
      <w:tblPr>
        <w:tblStyle w:val="Table5"/>
        <w:tblW w:w="969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90"/>
        <w:tblGridChange w:id="0">
          <w:tblGrid>
            <w:gridCol w:w="9690"/>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What are some examples of how gender identity and expression has been seen in history or in the present day?</w:t>
            </w:r>
          </w:p>
          <w:p w:rsidR="00000000" w:rsidDel="00000000" w:rsidP="00000000" w:rsidRDefault="00000000" w:rsidRPr="00000000" w14:paraId="00000039">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A">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B">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C">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D">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E">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F">
            <w:pPr>
              <w:pageBreakBefore w:val="0"/>
              <w:widowControl w:val="0"/>
              <w:spacing w:line="240" w:lineRule="auto"/>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40">
      <w:pPr>
        <w:pageBreakBefore w:val="0"/>
        <w:rPr/>
      </w:pPr>
      <w:r w:rsidDel="00000000" w:rsidR="00000000" w:rsidRPr="00000000">
        <w:rPr>
          <w:rtl w:val="0"/>
        </w:rPr>
      </w:r>
    </w:p>
    <w:tbl>
      <w:tblPr>
        <w:tblStyle w:val="Table6"/>
        <w:tblW w:w="9705.0" w:type="dxa"/>
        <w:jc w:val="left"/>
        <w:tblInd w:w="-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shd w:fill="ffd966"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How could this type of identity be influenced or challenged?</w:t>
            </w:r>
          </w:p>
          <w:p w:rsidR="00000000" w:rsidDel="00000000" w:rsidP="00000000" w:rsidRDefault="00000000" w:rsidRPr="00000000" w14:paraId="00000042">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3">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5">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6">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7">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8">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9">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A">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B">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C">
            <w:pPr>
              <w:pageBreakBefore w:val="0"/>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D">
            <w:pPr>
              <w:pageBreakBefore w:val="0"/>
              <w:widowControl w:val="0"/>
              <w:spacing w:line="240" w:lineRule="auto"/>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widowControl w:val="0"/>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51">
      <w:pPr>
        <w:pageBreakBefore w:val="0"/>
        <w:widowControl w:val="0"/>
        <w:spacing w:line="240" w:lineRule="auto"/>
        <w:jc w:val="center"/>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2">
      <w:pPr>
        <w:pageBreakBefore w:val="0"/>
        <w:widowControl w:val="0"/>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Exploring the </w:t>
      </w:r>
      <w:r w:rsidDel="00000000" w:rsidR="00000000" w:rsidRPr="00000000">
        <w:rPr>
          <w:rFonts w:ascii="Cambria" w:cs="Cambria" w:eastAsia="Cambria" w:hAnsi="Cambria"/>
          <w:b w:val="1"/>
          <w:i w:val="1"/>
          <w:sz w:val="28"/>
          <w:szCs w:val="28"/>
          <w:rtl w:val="0"/>
        </w:rPr>
        <w:t xml:space="preserve">Pauli Murray</w:t>
      </w:r>
      <w:r w:rsidDel="00000000" w:rsidR="00000000" w:rsidRPr="00000000">
        <w:rPr>
          <w:rFonts w:ascii="Cambria" w:cs="Cambria" w:eastAsia="Cambria" w:hAnsi="Cambria"/>
          <w:b w:val="1"/>
          <w:sz w:val="28"/>
          <w:szCs w:val="28"/>
          <w:rtl w:val="0"/>
        </w:rPr>
        <w:t xml:space="preserve"> Virtual Exhibit Instructions:</w:t>
      </w:r>
    </w:p>
    <w:p w:rsidR="00000000" w:rsidDel="00000000" w:rsidP="00000000" w:rsidRDefault="00000000" w:rsidRPr="00000000" w14:paraId="00000053">
      <w:pPr>
        <w:pageBreakBefore w:val="0"/>
        <w:widowControl w:val="0"/>
        <w:spacing w:line="240" w:lineRule="auto"/>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54">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Today you will explore the </w:t>
      </w:r>
      <w:r w:rsidDel="00000000" w:rsidR="00000000" w:rsidRPr="00000000">
        <w:rPr>
          <w:rFonts w:ascii="Cambria" w:cs="Cambria" w:eastAsia="Cambria" w:hAnsi="Cambria"/>
          <w:i w:val="1"/>
          <w:sz w:val="24"/>
          <w:szCs w:val="24"/>
          <w:rtl w:val="0"/>
        </w:rPr>
        <w:t xml:space="preserve">Pauli Murray</w:t>
      </w:r>
      <w:r w:rsidDel="00000000" w:rsidR="00000000" w:rsidRPr="00000000">
        <w:rPr>
          <w:rFonts w:ascii="Cambria" w:cs="Cambria" w:eastAsia="Cambria" w:hAnsi="Cambria"/>
          <w:sz w:val="24"/>
          <w:szCs w:val="24"/>
          <w:rtl w:val="0"/>
        </w:rPr>
        <w:t xml:space="preserve"> virtual exhibit.  It is encouraged that you take your time and read through pieces that you find interesting: poems, biographies, quotes, etc.  Feel free to engage with the content provided.  Throughout all of this you will do the following: </w:t>
      </w:r>
    </w:p>
    <w:p w:rsidR="00000000" w:rsidDel="00000000" w:rsidP="00000000" w:rsidRDefault="00000000" w:rsidRPr="00000000" w14:paraId="00000055">
      <w:pPr>
        <w:pageBreakBefore w:val="0"/>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pageBreakBefore w:val="0"/>
        <w:widowControl w:val="0"/>
        <w:numPr>
          <w:ilvl w:val="0"/>
          <w:numId w:val="1"/>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Personal Word Waterfall: </w:t>
      </w:r>
      <w:r w:rsidDel="00000000" w:rsidR="00000000" w:rsidRPr="00000000">
        <w:rPr>
          <w:rFonts w:ascii="Cambria" w:cs="Cambria" w:eastAsia="Cambria" w:hAnsi="Cambria"/>
          <w:sz w:val="24"/>
          <w:szCs w:val="24"/>
          <w:rtl w:val="0"/>
        </w:rPr>
        <w:t xml:space="preserve">Great writers will brainstorm before writing and developing a list of words or phrases that have stood out to you can be one way of brainstorming.  As you explore the virtual exhibit, write down words or phrases that you like, find meaning or connection with, intrigue you, etc.  By the end of your exploration, you will have a waterfall of words that you can use to write a story or poem. </w:t>
      </w: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